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60" w:lineRule="atLeast"/>
        <w:jc w:val="both"/>
        <w:outlineLvl w:val="0"/>
        <w:rPr>
          <w:rFonts w:hint="eastAsia"/>
          <w:b/>
          <w:bCs/>
          <w:sz w:val="32"/>
          <w:szCs w:val="32"/>
          <w:lang w:val="en-US" w:eastAsia="zh-CN"/>
        </w:rPr>
      </w:pPr>
      <w:r>
        <w:rPr>
          <w:rFonts w:hint="eastAsia"/>
          <w:b/>
          <w:bCs/>
          <w:sz w:val="32"/>
          <w:szCs w:val="32"/>
          <w:lang w:val="en-US" w:eastAsia="zh-CN"/>
        </w:rPr>
        <w:t>附：</w:t>
      </w:r>
    </w:p>
    <w:p>
      <w:pPr>
        <w:widowControl/>
        <w:shd w:val="clear" w:color="auto" w:fill="FFFFFF"/>
        <w:spacing w:line="660" w:lineRule="atLeast"/>
        <w:jc w:val="center"/>
        <w:outlineLvl w:val="0"/>
        <w:rPr>
          <w:rFonts w:hint="eastAsia" w:ascii="华文中宋" w:hAnsi="华文中宋" w:eastAsia="华文中宋" w:cs="华文中宋"/>
          <w:b/>
          <w:bCs/>
          <w:color w:val="222222"/>
          <w:kern w:val="36"/>
          <w:sz w:val="36"/>
          <w:szCs w:val="36"/>
        </w:rPr>
      </w:pPr>
      <w:bookmarkStart w:id="0" w:name="_GoBack"/>
      <w:r>
        <w:rPr>
          <w:rFonts w:hint="eastAsia" w:ascii="华文中宋" w:hAnsi="华文中宋" w:eastAsia="华文中宋" w:cs="华文中宋"/>
          <w:b/>
          <w:bCs/>
          <w:color w:val="222222"/>
          <w:kern w:val="36"/>
          <w:sz w:val="36"/>
          <w:szCs w:val="36"/>
        </w:rPr>
        <w:t>中央列出</w:t>
      </w:r>
      <w:r>
        <w:rPr>
          <w:rFonts w:hint="eastAsia" w:ascii="华文中宋" w:hAnsi="华文中宋" w:eastAsia="华文中宋" w:cs="华文中宋"/>
          <w:b/>
          <w:bCs/>
          <w:color w:val="222222"/>
          <w:kern w:val="36"/>
          <w:sz w:val="36"/>
          <w:szCs w:val="36"/>
          <w:lang w:val="en-US" w:eastAsia="zh-CN"/>
        </w:rPr>
        <w:t>的</w:t>
      </w:r>
      <w:r>
        <w:rPr>
          <w:rFonts w:hint="eastAsia" w:ascii="华文中宋" w:hAnsi="华文中宋" w:eastAsia="华文中宋" w:cs="华文中宋"/>
          <w:b/>
          <w:bCs/>
          <w:color w:val="222222"/>
          <w:kern w:val="36"/>
          <w:sz w:val="36"/>
          <w:szCs w:val="36"/>
        </w:rPr>
        <w:t>违反八项规定清单80条具体内容</w:t>
      </w:r>
      <w:bookmarkEnd w:id="0"/>
    </w:p>
    <w:p>
      <w:pPr>
        <w:widowControl/>
        <w:shd w:val="clear" w:color="auto" w:fill="FFFFFF"/>
        <w:spacing w:before="240" w:after="240" w:line="420" w:lineRule="atLeast"/>
        <w:jc w:val="center"/>
        <w:rPr>
          <w:rFonts w:hint="eastAsia" w:ascii="微软雅黑" w:hAnsi="微软雅黑" w:eastAsia="微软雅黑" w:cs="宋体"/>
          <w:color w:val="222222"/>
          <w:kern w:val="0"/>
          <w:sz w:val="24"/>
          <w:szCs w:val="24"/>
        </w:rPr>
      </w:pPr>
      <w:r>
        <w:rPr>
          <w:rFonts w:hint="eastAsia" w:ascii="微软雅黑" w:hAnsi="微软雅黑" w:eastAsia="微软雅黑" w:cs="宋体"/>
          <w:color w:val="777777"/>
          <w:kern w:val="0"/>
          <w:sz w:val="20"/>
          <w:szCs w:val="20"/>
        </w:rPr>
        <w:t>来源：人民日报微信公众号</w:t>
      </w:r>
    </w:p>
    <w:p>
      <w:pPr>
        <w:widowControl/>
        <w:shd w:val="clear" w:color="auto" w:fill="FFFFFF"/>
        <w:spacing w:before="240" w:after="240" w:line="420" w:lineRule="atLeast"/>
        <w:ind w:firstLine="640" w:firstLineChars="20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一、经费管理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1.严禁以各种名义突击花钱和滥发津贴、补贴、奖金、实物。</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2.严禁用公款购买、印制、邮寄、赠送贺年卡、明信片、年历等物品。</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3.严禁用公款购买赠送烟花爆竹、烟酒、花卉、食品等年货节礼（慰问困难群众职工不在此限）。</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4.依法取得的各项收入必须纳入符合规定的单位账簿核算，严禁违规转移到机关所属工会、培训中心、服务中心等单位账户使用。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5.严禁超预算或无预算安排支出，严禁虚列支出、转移或者套取预算资金。</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6.严格控制国内差旅费、因公临时出国费、公务接待费、公务用车购置及运行费、会议费、培训费等支出，年度预算执行中不予追加。</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7.严格开支范围和标准，严格支出报销审核，不得报销任何超范围、超标准以及与相关公务活动无关的费用。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8.政府采购严格执行经费预算和资产配置标准，合理确定采购需求，不得超标准采购，不得超出办公需要采购服务。</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9.严格执行政府采购程序，不得违反规定以任何方式和理由指定或者变相指定品牌、型号、产地。</w:t>
      </w:r>
    </w:p>
    <w:p>
      <w:pPr>
        <w:widowControl/>
        <w:shd w:val="clear" w:color="auto" w:fill="FFFFFF"/>
        <w:spacing w:before="240" w:after="240" w:line="420" w:lineRule="atLeast"/>
        <w:ind w:firstLine="640" w:firstLineChars="20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二、公务接待</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10.严禁用公款大吃大喝或安排与公务无关的宴请；严禁用公款安排旅游、健身和高消费娱乐活动。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11.禁止异地部门间没有特别需要的一般性学习交流、考察调研，禁止违反规定到风景名胜区举办会议和活动。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12.对无公函的公务活动不予接待，严禁将非公务活动纳入接待范围。</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13.不得用公款报销或者支付应由个人负担的费用；不得要求将休假、探亲、旅游等活动纳入国内公务接待范围。</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14.不得在机场、车站、码头和辖区边界组织迎送活动，不得跨地区迎送，不得张贴悬挂标语横幅，不得安排群众迎送，不得铺设迎宾地毯。</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15.住宿用房以标准间为主，接待省部级干部可以安排普通套间，不得额外配发洗漱用品。</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16.接待对象应当按照规定标准自行用餐，接待单位可以安排工作餐一次。接待对象在10人以内的，陪餐人数不得超过3人；超过10人的，不得超过接待对象人数的三分之一。</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17.工作餐应当供应家常菜，不得提供鱼翅、燕窝等高档菜肴和用野生保护动物制作的菜肴，不得提供香烟和高档酒水，不得使用私人会所、高消费餐饮场所。</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18.国内公务接待的出行活动应当安排集中乘车，合理使用车型，严格控制随行车辆。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19.公务接待费用应当全部纳入预算管理，单独列示。</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21.接待单位不得超标准接待；县级以上地方党委、政府按照当地会议用餐标准制定公务接待工作餐开支标准。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22.接待单位不得组织旅游和与公务活动无关的参观，不得组织到营业性娱乐、健身场所活动，不得安排专场文艺演出，不得以任何名义赠送礼金、有价证券、纪念品和土特产品等。</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23.公务活动结束后，接待单位应当如实填写接待清单。接待清单包括接待对象的单位、姓名、职务和公务活动项目、时间、场所、费用等内容。</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24.接待费报销凭证应当包括财务票据、派出单位公函和接待清单。</w:t>
      </w:r>
    </w:p>
    <w:p>
      <w:pPr>
        <w:widowControl/>
        <w:shd w:val="clear" w:color="auto" w:fill="FFFFFF"/>
        <w:spacing w:before="240" w:after="240" w:line="420" w:lineRule="atLeast"/>
        <w:ind w:firstLine="640" w:firstLineChars="20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三、会议活动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25.会议费预算要细化到具体会议项目，执行中不得突破。会议费应纳入部门预算，并单独列示。</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26.二、三、四类会议会期均不得超过2天；传达、布置类会议会期不得超过1天。会议报到和离开时间，一、二、三类会议合计不得超过2天，四类会议合计不得超过1天。</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27.二类会议参会人员不得超过300人，其中，工作人员控制在会议代表人数的15%以内；三类会议参会人员不得超过150人，其中，工作人员控制在会议代表人数的10%以内；四类会议参会人员视内容而定，一般不得超过50人。</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28.各单位会议应当到定点饭店召开，按照协议价格结算费用。未纳入定点范围，价格低于会议综合定额标准的单位内部会议室、礼堂、宾馆、招待所、培训中心，可优先作为本单位或本系统会议场所。</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29.会议费开支范围包括会议住宿费、伙食费、会议室租金、交通费、文件印刷费、医药费等。</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30.会议费由会议召开单位承担，不得向参会人员收取，不得以任何方式向下属机构、企事业单位、地方转嫁或摊派。</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31.会议费报销时应当提供会议审批文件、会议通知及实际参会人员签到表、定点饭店等会议服务单位提供的费用原始明细单据、电子结算单等凭证。</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32.严禁各单位借会议名义组织会餐或安排宴请；严禁套取会议费设立“小金库”；严禁在会议费中列支公务接待费。</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33.各单位应严格执行会议用房标准，不得安排高档套房；会议用餐严格控制菜品种类、数量和份量，安排自助餐，严禁提供高档菜肴，不安排宴请，不上烟酒；会议会场一律不摆花草，不制作背景板，不提供水果。</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34.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35.未经批准，党政机关不得举办各类节会、庆典活动，不得举办论坛、博览会、展会活动。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36.严禁使用财政性资金举办营业性文艺晚会。</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37.严格控制和规范各类评比达标表彰活动，实行中央和省两级审批制度。</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38.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39.地方各级党政机关的会议一律在本行政区域内召开，不得到其他地区召开；因工作需要确需跨行政区域召开会议的，必须报同级党委、政府批准。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40.严禁超出规定时限为参会人员提供食宿，严禁组织与会议无关的参观、考察等活动。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41.严禁在会议费、培训费、接待费中列支风景名胜区等各类旅游景点门票费、导游费、景区内设施使用费、往返景区交通费等应由个人承担的费用。</w:t>
      </w:r>
    </w:p>
    <w:p>
      <w:pPr>
        <w:widowControl/>
        <w:shd w:val="clear" w:color="auto" w:fill="FFFFFF"/>
        <w:spacing w:before="240" w:after="240" w:line="420" w:lineRule="atLeast"/>
        <w:ind w:firstLine="640" w:firstLineChars="20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四、公务出差</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42.出差人员应当按规定等级乘坐交通工具。未按规定等级乘坐交通工具的，超支部分由个人自理。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43.出差人员应当在职务级别对应的住宿费标准限额内，选择安全、经济、便捷的宾馆住宿。</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44.伙食补助费按出差自然(日历)天数计算，按规定标准包干使用。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45.出差人员应当自行用餐。凡由接待单位统一安排用餐的，应当向接待单位交纳伙食费。</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46.市内交通费按出差自然(日历)天数计算，每人每天80元包干使用。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47.出差人员由接待单位或其他单位提供交通工具的，应向接待单位或其他单位交纳相关费用。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48.出差人员应当严格按规定开支差旅费，费用由所在单位承担，不得向下级单位、企业或其他单位转嫁。</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49.实际发生住宿而无住宿费发票的，不得报销住宿费以及城市间交通费、伙食补助费和市内交通费。</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50.出差人员不得向接待单位提出正常公务活动以外的要求，不得在出差期间接受违反规定用公款支付的宴请、游览和非工作需要的参观，不得接受礼品、礼金和土特产品等。</w:t>
      </w:r>
    </w:p>
    <w:p>
      <w:pPr>
        <w:widowControl/>
        <w:shd w:val="clear" w:color="auto" w:fill="FFFFFF"/>
        <w:spacing w:before="240" w:after="240" w:line="420" w:lineRule="atLeast"/>
        <w:ind w:firstLine="640" w:firstLineChars="20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五、临时出国</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51.不得超预算或无预算安排出访团组。确有特殊需要的，按规定程序报批。</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52.不得因人找事，不得安排照顾性和无实质内容的一般性出访，不得安排考察性出访。</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53.严禁接受或变相接受企事业单位资助，严禁向同级机关、下级机关、下属单位、企业、驻外机构等摊派或转嫁出访费用。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54.出国人员应当优先选择由我国航空公司运营的国际航线，不得以任何理由绕道旅行，或以过境名义变相增加出访国家和时间。</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55.按照经济适用的原则，通过政府采购等方式，选择优惠票价，并尽可能购买往返机票。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56.因公临时出国购买机票，须经本单位外事和财务部门审批同意。机票款由本单位通过公务卡、银行转账方式支付，不得以现金支付。</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57.出国人员应当严格按照规定安排交通工具，不得乘坐民航包机或私人、企业和外国航空公司包机。</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58.出国人员根据出访任务需要在一个国家城市间往来，应当事先在出国计划中列明，并报本单位外事和财务部门批准。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59.出国人员应当严格按照规定安排住宿，省部级人员可安排普通套房，住宿费据实报销；厅局级及以下人员安排标准间，在规定的住宿费标准之内予以报销。</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60.参加国际会议等的出国人员，如对方组织单位指定或推荐酒店，应通过询价方式从紧安排，超出费用标准的，须事先报经本单位外事和财务部门批准。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61.外方以现金或实物形式提供伙食费和公杂费接待我代表团组的，出国人员不再领取伙食费和公杂费。</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62.出访用餐应当勤俭节约，不上高档菜肴和酒水，自助餐也要注意节俭。</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63.出访团组对外原则上不搞宴请，确需宴请的，应当连同出国计划一并报批，宴请标准按照所在国家一人一天的伙食费标准掌握。</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64.出访团组与我国驻外使领馆等外交机构和其他中资机构、企业之间一律不得用公款相互宴请。</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65.出访团组原则上不对外赠送礼品。</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66.出访团组与我国驻外使领馆等外交机构和其他中资机构、企业之间一律不得以任何名义、任何方式互赠礼品或纪念品。</w:t>
      </w:r>
    </w:p>
    <w:p>
      <w:pPr>
        <w:widowControl/>
        <w:shd w:val="clear" w:color="auto" w:fill="FFFFFF"/>
        <w:spacing w:before="240" w:after="240" w:line="420" w:lineRule="atLeast"/>
        <w:ind w:firstLine="640" w:firstLineChars="20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六、公务用车改革</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67.党政机关公务用车处置收入，扣除有关税费后全部上缴国库。</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68.执法执勤用车配备应当严格限制在一线执法执勤岗位，机关内部管理和后勤岗位以及机关所属事业单位一律不得配备。</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69.除涉及国家安全、侦查办案等有保密要求的特殊工作用车外，执法执勤用车应当喷涂明显的统一标识。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70.各单位按照在编在岗公务员数量和职级核定补贴数额，严格公务交通补贴发放，不得擅自扩大补贴范围、提高补贴标准。</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71.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w:t>
      </w:r>
    </w:p>
    <w:p>
      <w:pPr>
        <w:widowControl/>
        <w:shd w:val="clear" w:color="auto" w:fill="FFFFFF"/>
        <w:spacing w:before="240" w:after="240" w:line="420" w:lineRule="atLeast"/>
        <w:ind w:firstLine="640" w:firstLineChars="20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七、停建与清理办公用房</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72.各级党政机关自2013年7月23日日起5年内一律不得以任何形式和理由新建楼堂馆所。已批准但尚未开工建设的楼堂馆所项目，一律停建。</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73.各级党政机关不得以任何名义新建、改建、扩建内部接待场所，不得对机关内部接待场所进行超标准装修或者装饰、超标准配置家具和电器。</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74.维修改造项目要以消除安全隐患、恢复和完善使用功能为重点，严格履行审批程序，严格执行维修改造标准，严禁豪华装修。</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75.各级党政机关不得以任何理由安排财政资金用于包括培训中心在内的各类具有住宿、会议、餐饮等接待功能的设施或场所的维修改造。</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76.超过《党政机关办公用房建设标准》规定的面积标准占有、使用办公用房的，应予以腾退。</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77.已经出租、出借的办公用房到期应予收回，租赁合同未到期的，租金收入严格按照收支两条线规定管理，到期后不得续租。</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78.领导干部在不同部门同时任职的，应在主要工作部门安排一处办公用房，其他任职部门不再安排办公用房。</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79.领导干部工作调动的，由调入部门安排办公用房，原单位的办公用房不再保留。</w:t>
      </w:r>
    </w:p>
    <w:p>
      <w:pPr>
        <w:widowControl/>
        <w:shd w:val="clear" w:color="auto" w:fill="FFFFFF"/>
        <w:spacing w:before="240" w:after="240" w:line="420" w:lineRule="atLeas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80.领导干部已办理离退休手续的，原单位的办公用房应及时腾退。</w:t>
      </w:r>
    </w:p>
    <w:p>
      <w:pPr>
        <w:widowControl/>
        <w:shd w:val="clear" w:color="auto" w:fill="FFFFFF"/>
        <w:spacing w:before="240" w:after="240" w:line="420" w:lineRule="atLeast"/>
        <w:jc w:val="left"/>
        <w:rPr>
          <w:rFonts w:hint="eastAsia" w:ascii="仿宋" w:hAnsi="仿宋" w:eastAsia="仿宋" w:cs="仿宋"/>
          <w:color w:val="222222"/>
          <w:kern w:val="0"/>
          <w:sz w:val="32"/>
          <w:szCs w:val="32"/>
        </w:rPr>
      </w:pPr>
    </w:p>
    <w:p>
      <w:pPr>
        <w:rPr>
          <w:rFonts w:hint="default"/>
          <w:b/>
          <w:bCs/>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3F"/>
    <w:rsid w:val="0034333F"/>
    <w:rsid w:val="00600A4B"/>
    <w:rsid w:val="00677914"/>
    <w:rsid w:val="00702CBC"/>
    <w:rsid w:val="00A57269"/>
    <w:rsid w:val="229D6CDA"/>
    <w:rsid w:val="4E835176"/>
    <w:rsid w:val="51FB04D5"/>
    <w:rsid w:val="70BC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342</Words>
  <Characters>1956</Characters>
  <Lines>16</Lines>
  <Paragraphs>4</Paragraphs>
  <TotalTime>10</TotalTime>
  <ScaleCrop>false</ScaleCrop>
  <LinksUpToDate>false</LinksUpToDate>
  <CharactersWithSpaces>2294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2019-10-29T07:55:00Z</dcterms:created>
  <dc:creator>微软用户</dc:creator>
  <cp:lastModifiedBy>Administrator</cp:lastModifiedBy>
  <dcterms:modified xsi:type="dcterms:W3CDTF">2019-11-07T09:37:35Z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